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9B" w:rsidRDefault="00F9319B" w:rsidP="00F931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BE0248">
        <w:rPr>
          <w:rFonts w:cstheme="minorHAnsi"/>
          <w:b/>
          <w:bCs/>
          <w:sz w:val="40"/>
          <w:szCs w:val="40"/>
        </w:rPr>
        <w:t>ANALISI E MIGLIORAMENTO DEI PROCESSI DELLA MOBILITÀ SANITARIA</w:t>
      </w:r>
      <w:r w:rsidR="00A15AC4">
        <w:rPr>
          <w:rFonts w:cstheme="minorHAnsi"/>
          <w:b/>
          <w:bCs/>
          <w:sz w:val="40"/>
          <w:szCs w:val="40"/>
        </w:rPr>
        <w:t xml:space="preserve"> – ASL CN1</w:t>
      </w:r>
    </w:p>
    <w:p w:rsidR="00F30E9D" w:rsidRPr="00F30E9D" w:rsidRDefault="00F30E9D" w:rsidP="00F931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Pr="00F30E9D">
        <w:rPr>
          <w:rFonts w:cstheme="minorHAnsi"/>
          <w:b/>
          <w:bCs/>
          <w:sz w:val="24"/>
          <w:szCs w:val="24"/>
        </w:rPr>
        <w:t>AGGIORNAMENTO 4 luglio 2024</w:t>
      </w:r>
      <w:r>
        <w:rPr>
          <w:rFonts w:cstheme="minorHAnsi"/>
          <w:b/>
          <w:bCs/>
          <w:sz w:val="24"/>
          <w:szCs w:val="24"/>
        </w:rPr>
        <w:t>)</w:t>
      </w:r>
    </w:p>
    <w:p w:rsidR="00F9319B" w:rsidRPr="00BE0248" w:rsidRDefault="00F9319B" w:rsidP="00F931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:rsidR="00F9319B" w:rsidRDefault="00F9319B" w:rsidP="002243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E0248">
        <w:rPr>
          <w:rFonts w:cstheme="minorHAnsi"/>
          <w:b/>
          <w:bCs/>
        </w:rPr>
        <w:t>ANALISI DELLA SITUAZIONE RELATIVA AL SISTEMA DI EROGAZIONE E ALLA MOBILITÀ PASSIVA INTERREGIONALE A LIVELLO DI AZIENDE SANITARIE E PER AREA</w:t>
      </w:r>
    </w:p>
    <w:p w:rsidR="00844D38" w:rsidRDefault="00844D38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2560B" w:rsidRDefault="00844D38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Il valore complessivo della mobilità passiva extraregionale a favore di residenti della ASL CN1 </w:t>
      </w:r>
      <w:r w:rsidR="00F30E9D">
        <w:rPr>
          <w:rFonts w:cstheme="minorHAnsi"/>
          <w:bCs/>
        </w:rPr>
        <w:t xml:space="preserve">nel 2023 </w:t>
      </w:r>
      <w:r>
        <w:rPr>
          <w:rFonts w:cstheme="minorHAnsi"/>
          <w:bCs/>
        </w:rPr>
        <w:t xml:space="preserve">è </w:t>
      </w:r>
      <w:r w:rsidR="00F30E9D">
        <w:rPr>
          <w:rFonts w:cstheme="minorHAnsi"/>
          <w:bCs/>
        </w:rPr>
        <w:t xml:space="preserve">rimasto </w:t>
      </w:r>
      <w:r w:rsidR="009A32D9">
        <w:rPr>
          <w:rFonts w:cstheme="minorHAnsi"/>
          <w:bCs/>
        </w:rPr>
        <w:t>pressoché</w:t>
      </w:r>
      <w:r>
        <w:rPr>
          <w:rFonts w:cstheme="minorHAnsi"/>
          <w:bCs/>
        </w:rPr>
        <w:t xml:space="preserve"> costante</w:t>
      </w:r>
      <w:r w:rsidR="00F30E9D">
        <w:rPr>
          <w:rFonts w:cstheme="minorHAnsi"/>
          <w:bCs/>
        </w:rPr>
        <w:t xml:space="preserve"> rispetto al 2022</w:t>
      </w:r>
      <w:r>
        <w:rPr>
          <w:rFonts w:cstheme="minorHAnsi"/>
          <w:bCs/>
        </w:rPr>
        <w:t>. Si evidenzia una leggera diminuzione sui DRG ad alta e media complessità</w:t>
      </w:r>
      <w:r w:rsidR="00291493">
        <w:rPr>
          <w:rFonts w:cstheme="minorHAnsi"/>
          <w:bCs/>
        </w:rPr>
        <w:t>,</w:t>
      </w:r>
      <w:r>
        <w:rPr>
          <w:rFonts w:cstheme="minorHAnsi"/>
          <w:bCs/>
        </w:rPr>
        <w:t xml:space="preserve"> mentre i DRG a bassa complessità e </w:t>
      </w:r>
      <w:r w:rsidR="00D933A2">
        <w:rPr>
          <w:rFonts w:cstheme="minorHAnsi"/>
          <w:bCs/>
        </w:rPr>
        <w:t xml:space="preserve">a rischio di </w:t>
      </w:r>
      <w:proofErr w:type="spellStart"/>
      <w:r w:rsidR="00D933A2">
        <w:rPr>
          <w:rFonts w:cstheme="minorHAnsi"/>
          <w:bCs/>
        </w:rPr>
        <w:t>inappropriatezza</w:t>
      </w:r>
      <w:proofErr w:type="spellEnd"/>
      <w:r>
        <w:rPr>
          <w:rFonts w:cstheme="minorHAnsi"/>
          <w:bCs/>
        </w:rPr>
        <w:t xml:space="preserve"> hanno sub</w:t>
      </w:r>
      <w:r w:rsidR="0002560B">
        <w:rPr>
          <w:rFonts w:cstheme="minorHAnsi"/>
          <w:bCs/>
        </w:rPr>
        <w:t>ì</w:t>
      </w:r>
      <w:r>
        <w:rPr>
          <w:rFonts w:cstheme="minorHAnsi"/>
          <w:bCs/>
        </w:rPr>
        <w:t xml:space="preserve">to un lieve incremento di valore </w:t>
      </w:r>
      <w:r w:rsidR="00291493">
        <w:rPr>
          <w:rFonts w:cstheme="minorHAnsi"/>
          <w:bCs/>
        </w:rPr>
        <w:t>(</w:t>
      </w:r>
      <w:r>
        <w:rPr>
          <w:rFonts w:cstheme="minorHAnsi"/>
          <w:bCs/>
        </w:rPr>
        <w:t>pari a circa il 3%</w:t>
      </w:r>
      <w:r w:rsidR="00291493">
        <w:rPr>
          <w:rFonts w:cstheme="minorHAnsi"/>
          <w:bCs/>
        </w:rPr>
        <w:t>)</w:t>
      </w:r>
      <w:r>
        <w:rPr>
          <w:rFonts w:cstheme="minorHAnsi"/>
          <w:bCs/>
        </w:rPr>
        <w:t xml:space="preserve">. </w:t>
      </w:r>
    </w:p>
    <w:p w:rsidR="00844D38" w:rsidRDefault="00844D38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Come si evidenzia nel grafico successivo</w:t>
      </w:r>
      <w:r w:rsidR="00F30E9D">
        <w:rPr>
          <w:rFonts w:cstheme="minorHAnsi"/>
          <w:bCs/>
        </w:rPr>
        <w:t xml:space="preserve">, nello stesso periodo, </w:t>
      </w:r>
      <w:r>
        <w:rPr>
          <w:rFonts w:cstheme="minorHAnsi"/>
          <w:bCs/>
        </w:rPr>
        <w:t xml:space="preserve">la produzione della ASL CN1 è </w:t>
      </w:r>
      <w:r w:rsidR="00F30E9D">
        <w:rPr>
          <w:rFonts w:cstheme="minorHAnsi"/>
          <w:bCs/>
        </w:rPr>
        <w:t>incrementata</w:t>
      </w:r>
      <w:r w:rsidR="00D933A2">
        <w:rPr>
          <w:rFonts w:cstheme="minorHAnsi"/>
          <w:bCs/>
        </w:rPr>
        <w:t xml:space="preserve"> in tutte le categorie, ad eccezione di quella relativa ai DRG ad alta complessità (la cui produzione è generalmente a carico di ospedali HUB o centri di riferimento).</w:t>
      </w:r>
    </w:p>
    <w:p w:rsidR="00D933A2" w:rsidRPr="00844D38" w:rsidRDefault="00D933A2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844D38" w:rsidRDefault="00844D38" w:rsidP="0084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it-IT"/>
        </w:rPr>
        <w:drawing>
          <wp:inline distT="0" distB="0" distL="0" distR="0" wp14:anchorId="2B060AA2">
            <wp:extent cx="5276630" cy="317182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005" cy="3187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D38" w:rsidRDefault="00844D38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30E9D" w:rsidRDefault="00F30E9D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Sui primi 15 DRG a maggior incidenza di fuga, nel 2023 si è registrata una diminuzio</w:t>
      </w:r>
      <w:r w:rsidR="00291493">
        <w:rPr>
          <w:rFonts w:cstheme="minorHAnsi"/>
          <w:bCs/>
        </w:rPr>
        <w:t>ne</w:t>
      </w:r>
      <w:r>
        <w:rPr>
          <w:rFonts w:cstheme="minorHAnsi"/>
          <w:bCs/>
        </w:rPr>
        <w:t xml:space="preserve"> pari al 30% in termini di valore e al 23% in termini di casi </w:t>
      </w:r>
      <w:r w:rsidR="00291493">
        <w:rPr>
          <w:rFonts w:cstheme="minorHAnsi"/>
          <w:bCs/>
        </w:rPr>
        <w:t xml:space="preserve">rispetto al 2022. Un </w:t>
      </w:r>
      <w:r w:rsidR="00940DC8">
        <w:rPr>
          <w:rFonts w:cstheme="minorHAnsi"/>
          <w:bCs/>
        </w:rPr>
        <w:t>incremento, in termini di valore</w:t>
      </w:r>
      <w:r w:rsidR="00291493">
        <w:rPr>
          <w:rFonts w:cstheme="minorHAnsi"/>
          <w:bCs/>
        </w:rPr>
        <w:t xml:space="preserve">, si osserva </w:t>
      </w:r>
      <w:r w:rsidR="00940DC8">
        <w:rPr>
          <w:rFonts w:cstheme="minorHAnsi"/>
          <w:bCs/>
        </w:rPr>
        <w:t xml:space="preserve">solo </w:t>
      </w:r>
      <w:r w:rsidR="00291493">
        <w:rPr>
          <w:rFonts w:cstheme="minorHAnsi"/>
          <w:bCs/>
        </w:rPr>
        <w:t>sul</w:t>
      </w:r>
      <w:r w:rsidR="00940DC8">
        <w:rPr>
          <w:rFonts w:cstheme="minorHAnsi"/>
          <w:bCs/>
        </w:rPr>
        <w:t xml:space="preserve"> DRG 541</w:t>
      </w:r>
      <w:r w:rsidR="00291493">
        <w:rPr>
          <w:rFonts w:cstheme="minorHAnsi"/>
          <w:bCs/>
        </w:rPr>
        <w:t>,</w:t>
      </w:r>
      <w:r w:rsidR="00940DC8">
        <w:rPr>
          <w:rFonts w:cstheme="minorHAnsi"/>
          <w:bCs/>
        </w:rPr>
        <w:t xml:space="preserve"> la cui casistica molto ridotta e l’altissimo peso</w:t>
      </w:r>
      <w:r w:rsidR="00291493">
        <w:rPr>
          <w:rFonts w:cstheme="minorHAnsi"/>
          <w:bCs/>
        </w:rPr>
        <w:t>,</w:t>
      </w:r>
      <w:r w:rsidR="00940DC8">
        <w:rPr>
          <w:rFonts w:cstheme="minorHAnsi"/>
          <w:bCs/>
        </w:rPr>
        <w:t xml:space="preserve"> determinano scostamenti importanti difficilmente </w:t>
      </w:r>
      <w:r w:rsidR="00291493">
        <w:rPr>
          <w:rFonts w:cstheme="minorHAnsi"/>
          <w:bCs/>
        </w:rPr>
        <w:t>prevedibili</w:t>
      </w:r>
      <w:r w:rsidR="00940DC8">
        <w:rPr>
          <w:rFonts w:cstheme="minorHAnsi"/>
          <w:bCs/>
        </w:rPr>
        <w:t xml:space="preserve"> e conten</w:t>
      </w:r>
      <w:r w:rsidR="00291493">
        <w:rPr>
          <w:rFonts w:cstheme="minorHAnsi"/>
          <w:bCs/>
        </w:rPr>
        <w:t>ibili</w:t>
      </w:r>
      <w:r w:rsidR="00940DC8">
        <w:rPr>
          <w:rFonts w:cstheme="minorHAnsi"/>
          <w:bCs/>
        </w:rPr>
        <w:t>.</w:t>
      </w:r>
    </w:p>
    <w:p w:rsidR="009A32D9" w:rsidRDefault="009A32D9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30E9D" w:rsidRDefault="00F30E9D" w:rsidP="009A32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F30E9D">
        <w:rPr>
          <w:noProof/>
          <w:lang w:eastAsia="it-IT"/>
        </w:rPr>
        <w:lastRenderedPageBreak/>
        <w:drawing>
          <wp:inline distT="0" distB="0" distL="0" distR="0">
            <wp:extent cx="5775325" cy="3912319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99" cy="39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9D" w:rsidRDefault="00F30E9D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DD656A" w:rsidRDefault="00DD656A" w:rsidP="0084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8C3DF7" w:rsidRDefault="00F10BA0" w:rsidP="00DD65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Particolare evidenza si pone sugli</w:t>
      </w:r>
      <w:r w:rsidR="00291493">
        <w:rPr>
          <w:rFonts w:cstheme="minorHAnsi"/>
          <w:bCs/>
        </w:rPr>
        <w:t xml:space="preserve"> interventi di</w:t>
      </w:r>
      <w:r w:rsidR="00DD656A" w:rsidRPr="00DD656A">
        <w:rPr>
          <w:rFonts w:cstheme="minorHAnsi"/>
          <w:bCs/>
        </w:rPr>
        <w:t xml:space="preserve"> chirurgia </w:t>
      </w:r>
      <w:proofErr w:type="spellStart"/>
      <w:r w:rsidR="00DD656A" w:rsidRPr="00DD656A">
        <w:rPr>
          <w:rFonts w:cstheme="minorHAnsi"/>
          <w:bCs/>
        </w:rPr>
        <w:t>bariatrica</w:t>
      </w:r>
      <w:proofErr w:type="spellEnd"/>
      <w:r w:rsidR="00DD656A" w:rsidRPr="00DD656A">
        <w:rPr>
          <w:rFonts w:cstheme="minorHAnsi"/>
          <w:bCs/>
        </w:rPr>
        <w:t xml:space="preserve"> </w:t>
      </w:r>
      <w:r w:rsidR="00291493">
        <w:rPr>
          <w:rFonts w:cstheme="minorHAnsi"/>
          <w:bCs/>
        </w:rPr>
        <w:t>(DRG 288)</w:t>
      </w:r>
      <w:r>
        <w:rPr>
          <w:rFonts w:cstheme="minorHAnsi"/>
          <w:bCs/>
        </w:rPr>
        <w:t xml:space="preserve"> la cui mobilità extraregionale risulta leggermente diminuita rispetto al 2022.</w:t>
      </w:r>
      <w:r w:rsidR="00291493">
        <w:rPr>
          <w:rFonts w:cstheme="minorHAnsi"/>
          <w:bCs/>
        </w:rPr>
        <w:t xml:space="preserve"> </w:t>
      </w:r>
      <w:r>
        <w:rPr>
          <w:rFonts w:cstheme="minorHAnsi"/>
          <w:bCs/>
        </w:rPr>
        <w:t>La produzione ASL CN1, finalizzata al contenimento di tale fuga,</w:t>
      </w:r>
      <w:r w:rsidR="00291493">
        <w:rPr>
          <w:rFonts w:cstheme="minorHAnsi"/>
          <w:bCs/>
        </w:rPr>
        <w:t xml:space="preserve"> </w:t>
      </w:r>
      <w:r>
        <w:rPr>
          <w:rFonts w:cstheme="minorHAnsi"/>
          <w:bCs/>
        </w:rPr>
        <w:t>è</w:t>
      </w:r>
      <w:r w:rsidR="00291493">
        <w:rPr>
          <w:rFonts w:cstheme="minorHAnsi"/>
          <w:bCs/>
        </w:rPr>
        <w:t xml:space="preserve"> in aumento</w:t>
      </w:r>
      <w:r w:rsidR="00DD656A" w:rsidRPr="00DD656A">
        <w:rPr>
          <w:rFonts w:cstheme="minorHAnsi"/>
          <w:bCs/>
        </w:rPr>
        <w:t xml:space="preserve"> sia rispetto al 2022 </w:t>
      </w:r>
      <w:r>
        <w:rPr>
          <w:rFonts w:cstheme="minorHAnsi"/>
          <w:bCs/>
        </w:rPr>
        <w:t xml:space="preserve">(26 casi) </w:t>
      </w:r>
      <w:r w:rsidR="00DD656A" w:rsidRPr="00DD656A">
        <w:rPr>
          <w:rFonts w:cstheme="minorHAnsi"/>
          <w:bCs/>
        </w:rPr>
        <w:t>c</w:t>
      </w:r>
      <w:r w:rsidR="00940DC8">
        <w:rPr>
          <w:rFonts w:cstheme="minorHAnsi"/>
          <w:bCs/>
        </w:rPr>
        <w:t>he al 2023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>(</w:t>
      </w:r>
      <w:r w:rsidRPr="00DD656A">
        <w:rPr>
          <w:rFonts w:cstheme="minorHAnsi"/>
          <w:bCs/>
        </w:rPr>
        <w:t>51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>casi</w:t>
      </w:r>
      <w:r>
        <w:rPr>
          <w:rFonts w:cstheme="minorHAnsi"/>
          <w:bCs/>
        </w:rPr>
        <w:t>)</w:t>
      </w:r>
      <w:r w:rsidR="00940DC8">
        <w:rPr>
          <w:rFonts w:cstheme="minorHAnsi"/>
          <w:bCs/>
        </w:rPr>
        <w:t>. Nel periodo gennaio-</w:t>
      </w:r>
      <w:r w:rsidR="00DD656A" w:rsidRPr="00DD656A">
        <w:rPr>
          <w:rFonts w:cstheme="minorHAnsi"/>
          <w:bCs/>
        </w:rPr>
        <w:t>maggio</w:t>
      </w:r>
      <w:r w:rsidR="00940DC8">
        <w:rPr>
          <w:rFonts w:cstheme="minorHAnsi"/>
          <w:bCs/>
        </w:rPr>
        <w:t xml:space="preserve"> 202</w:t>
      </w:r>
      <w:r w:rsidR="00291493">
        <w:rPr>
          <w:rFonts w:cstheme="minorHAnsi"/>
          <w:bCs/>
        </w:rPr>
        <w:t>4, infatti,</w:t>
      </w:r>
      <w:r w:rsidR="00DD656A" w:rsidRPr="00DD656A">
        <w:rPr>
          <w:rFonts w:cstheme="minorHAnsi"/>
          <w:bCs/>
        </w:rPr>
        <w:t xml:space="preserve"> l’ASL </w:t>
      </w:r>
      <w:r>
        <w:rPr>
          <w:rFonts w:cstheme="minorHAnsi"/>
          <w:bCs/>
        </w:rPr>
        <w:t xml:space="preserve">ha già effettuato 26 interventi superando, in previsione annua, la </w:t>
      </w:r>
      <w:r w:rsidR="00291493">
        <w:rPr>
          <w:rFonts w:cstheme="minorHAnsi"/>
          <w:bCs/>
        </w:rPr>
        <w:t>produzione del 2023</w:t>
      </w:r>
      <w:r w:rsidR="00DD656A">
        <w:rPr>
          <w:rFonts w:cstheme="minorHAnsi"/>
          <w:bCs/>
        </w:rPr>
        <w:t>.</w:t>
      </w:r>
    </w:p>
    <w:p w:rsidR="00940DC8" w:rsidRPr="00DD656A" w:rsidRDefault="00940DC8" w:rsidP="00DD65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8C3DF7" w:rsidRDefault="00DD656A" w:rsidP="00DD65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56457A69">
            <wp:extent cx="4584700" cy="27559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DF7" w:rsidRDefault="008C3DF7" w:rsidP="005806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933A2">
        <w:rPr>
          <w:rFonts w:cstheme="minorHAnsi"/>
          <w:bCs/>
        </w:rPr>
        <w:t>Le</w:t>
      </w:r>
      <w:r>
        <w:rPr>
          <w:rFonts w:cstheme="minorHAnsi"/>
          <w:bCs/>
        </w:rPr>
        <w:t xml:space="preserve"> ulteriori analisi per singolo DRG e le relative osservazioni su quelli a maggior incidenza di fuga sono riportate nell’allegato ‘</w:t>
      </w:r>
      <w:r w:rsidRPr="00291493">
        <w:rPr>
          <w:rFonts w:cstheme="minorHAnsi"/>
          <w:bCs/>
        </w:rPr>
        <w:t>All.2 Scheda word-TABELLE</w:t>
      </w:r>
      <w:r>
        <w:rPr>
          <w:rFonts w:cstheme="minorHAnsi"/>
          <w:bCs/>
        </w:rPr>
        <w:t xml:space="preserve">’. </w:t>
      </w: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10BA0" w:rsidRDefault="00F10BA0" w:rsidP="00F10B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10BA0" w:rsidRPr="00BE0248" w:rsidRDefault="00F10BA0" w:rsidP="005806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40DC8" w:rsidRPr="00BE0248" w:rsidRDefault="00940DC8" w:rsidP="00F9319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9319B" w:rsidRPr="00BE0248" w:rsidRDefault="00F9319B" w:rsidP="00F931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E0248">
        <w:rPr>
          <w:rFonts w:cstheme="minorHAnsi"/>
          <w:b/>
          <w:bCs/>
        </w:rPr>
        <w:t>INDIVIDUAZIONE DELLE PRINCIPALI CRITICITÀ E PRIORITÀ DI INTERVENTO</w:t>
      </w:r>
    </w:p>
    <w:p w:rsidR="00201415" w:rsidRPr="0002560B" w:rsidRDefault="00201415" w:rsidP="009732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32"/>
        </w:rPr>
      </w:pPr>
    </w:p>
    <w:p w:rsidR="00973220" w:rsidRPr="00BE0248" w:rsidRDefault="00973220" w:rsidP="009732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t>Le principali criticità</w:t>
      </w:r>
      <w:r w:rsidR="009C6F56">
        <w:rPr>
          <w:rFonts w:cstheme="minorHAnsi"/>
          <w:sz w:val="24"/>
          <w:szCs w:val="24"/>
        </w:rPr>
        <w:t xml:space="preserve"> osservate</w:t>
      </w:r>
      <w:r w:rsidRPr="00BE0248">
        <w:rPr>
          <w:rFonts w:cstheme="minorHAnsi"/>
          <w:sz w:val="24"/>
          <w:szCs w:val="24"/>
        </w:rPr>
        <w:t xml:space="preserve"> </w:t>
      </w:r>
      <w:r w:rsidR="00940DC8">
        <w:rPr>
          <w:rFonts w:cstheme="minorHAnsi"/>
          <w:sz w:val="24"/>
          <w:szCs w:val="24"/>
        </w:rPr>
        <w:t>sono</w:t>
      </w:r>
      <w:r w:rsidRPr="00BE0248">
        <w:rPr>
          <w:rFonts w:cstheme="minorHAnsi"/>
          <w:sz w:val="24"/>
          <w:szCs w:val="24"/>
        </w:rPr>
        <w:t xml:space="preserve"> le seguenti</w:t>
      </w:r>
      <w:r w:rsidR="00201415" w:rsidRPr="00BE0248">
        <w:rPr>
          <w:rFonts w:cstheme="minorHAnsi"/>
          <w:sz w:val="24"/>
          <w:szCs w:val="24"/>
        </w:rPr>
        <w:t>:</w:t>
      </w:r>
    </w:p>
    <w:p w:rsidR="00973220" w:rsidRPr="00BE0248" w:rsidRDefault="00973220" w:rsidP="00F665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t>V</w:t>
      </w:r>
      <w:r w:rsidR="00F6650A" w:rsidRPr="00BE0248">
        <w:rPr>
          <w:rFonts w:cstheme="minorHAnsi"/>
          <w:sz w:val="24"/>
          <w:szCs w:val="24"/>
        </w:rPr>
        <w:t>icinanza territoriale di alcuni comuni del distretto SUD-EST</w:t>
      </w:r>
      <w:r w:rsidRPr="00BE0248">
        <w:rPr>
          <w:rFonts w:cstheme="minorHAnsi"/>
          <w:sz w:val="24"/>
          <w:szCs w:val="24"/>
        </w:rPr>
        <w:t xml:space="preserve"> alla regione Liguria</w:t>
      </w:r>
    </w:p>
    <w:p w:rsidR="003C3786" w:rsidRPr="00BE0248" w:rsidRDefault="003C3786" w:rsidP="00F665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t>Carenza di offerta ospedaliera di strutture private accreditate sul territorio della ASL CN1</w:t>
      </w:r>
    </w:p>
    <w:p w:rsidR="00973220" w:rsidRPr="00BE0248" w:rsidRDefault="00F6650A" w:rsidP="00F6650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t xml:space="preserve">Fuga significativa </w:t>
      </w:r>
      <w:r w:rsidR="00F10BA0">
        <w:rPr>
          <w:rFonts w:cstheme="minorHAnsi"/>
          <w:sz w:val="24"/>
          <w:szCs w:val="24"/>
        </w:rPr>
        <w:t>su</w:t>
      </w:r>
      <w:r w:rsidRPr="00BE0248">
        <w:rPr>
          <w:rFonts w:cstheme="minorHAnsi"/>
          <w:sz w:val="24"/>
          <w:szCs w:val="24"/>
        </w:rPr>
        <w:t xml:space="preserve"> discipline</w:t>
      </w:r>
      <w:r w:rsidR="00973220" w:rsidRPr="00BE0248">
        <w:rPr>
          <w:rFonts w:cstheme="minorHAnsi"/>
          <w:sz w:val="24"/>
          <w:szCs w:val="24"/>
        </w:rPr>
        <w:t xml:space="preserve"> </w:t>
      </w:r>
      <w:r w:rsidRPr="00BE0248">
        <w:rPr>
          <w:rFonts w:cstheme="minorHAnsi"/>
          <w:sz w:val="24"/>
          <w:szCs w:val="24"/>
        </w:rPr>
        <w:t xml:space="preserve">per le quali risulta presente una offerta </w:t>
      </w:r>
      <w:r w:rsidR="004300D8" w:rsidRPr="00BE0248">
        <w:rPr>
          <w:rFonts w:cstheme="minorHAnsi"/>
          <w:sz w:val="24"/>
          <w:szCs w:val="24"/>
        </w:rPr>
        <w:t>importante</w:t>
      </w:r>
      <w:r w:rsidRPr="00BE0248">
        <w:rPr>
          <w:rFonts w:cstheme="minorHAnsi"/>
          <w:sz w:val="24"/>
          <w:szCs w:val="24"/>
        </w:rPr>
        <w:t xml:space="preserve"> sul territorio ASL </w:t>
      </w:r>
      <w:r w:rsidR="00973220" w:rsidRPr="00BE0248">
        <w:rPr>
          <w:rFonts w:cstheme="minorHAnsi"/>
          <w:sz w:val="24"/>
          <w:szCs w:val="24"/>
        </w:rPr>
        <w:t>CN1</w:t>
      </w:r>
      <w:r w:rsidRPr="00BE0248">
        <w:rPr>
          <w:rFonts w:cstheme="minorHAnsi"/>
          <w:sz w:val="24"/>
          <w:szCs w:val="24"/>
        </w:rPr>
        <w:t xml:space="preserve"> (</w:t>
      </w:r>
      <w:r w:rsidR="00973220" w:rsidRPr="00BE0248">
        <w:rPr>
          <w:rFonts w:cstheme="minorHAnsi"/>
          <w:sz w:val="24"/>
          <w:szCs w:val="24"/>
        </w:rPr>
        <w:t>Presidi Ospedalieri ASL</w:t>
      </w:r>
      <w:r w:rsidRPr="00BE0248">
        <w:rPr>
          <w:rFonts w:cstheme="minorHAnsi"/>
          <w:sz w:val="24"/>
          <w:szCs w:val="24"/>
        </w:rPr>
        <w:t>, AO</w:t>
      </w:r>
      <w:r w:rsidR="00973220" w:rsidRPr="00BE0248">
        <w:rPr>
          <w:rFonts w:cstheme="minorHAnsi"/>
          <w:sz w:val="24"/>
          <w:szCs w:val="24"/>
        </w:rPr>
        <w:t xml:space="preserve"> S.</w:t>
      </w:r>
      <w:r w:rsidR="0002560B">
        <w:rPr>
          <w:rFonts w:cstheme="minorHAnsi"/>
          <w:sz w:val="24"/>
          <w:szCs w:val="24"/>
        </w:rPr>
        <w:t xml:space="preserve"> </w:t>
      </w:r>
      <w:r w:rsidR="00973220" w:rsidRPr="00BE0248">
        <w:rPr>
          <w:rFonts w:cstheme="minorHAnsi"/>
          <w:sz w:val="24"/>
          <w:szCs w:val="24"/>
        </w:rPr>
        <w:t>Croce e Carle di Cuneo, Privato Accreditato)</w:t>
      </w:r>
    </w:p>
    <w:p w:rsidR="00973220" w:rsidRPr="00BE0248" w:rsidRDefault="00F6650A" w:rsidP="009732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lastRenderedPageBreak/>
        <w:t xml:space="preserve">Fuga su </w:t>
      </w:r>
      <w:r w:rsidR="00973220" w:rsidRPr="00BE0248">
        <w:rPr>
          <w:rFonts w:cstheme="minorHAnsi"/>
          <w:sz w:val="24"/>
          <w:szCs w:val="24"/>
        </w:rPr>
        <w:t xml:space="preserve">alcune </w:t>
      </w:r>
      <w:r w:rsidRPr="00BE0248">
        <w:rPr>
          <w:rFonts w:cstheme="minorHAnsi"/>
          <w:sz w:val="24"/>
          <w:szCs w:val="24"/>
        </w:rPr>
        <w:t>discipline di elevata specializzazione (ad es. Cardiochirurgia) per le quali risulta presente una offerta sul</w:t>
      </w:r>
      <w:r w:rsidR="00973220" w:rsidRPr="00BE0248">
        <w:rPr>
          <w:rFonts w:cstheme="minorHAnsi"/>
          <w:sz w:val="24"/>
          <w:szCs w:val="24"/>
        </w:rPr>
        <w:t xml:space="preserve"> </w:t>
      </w:r>
      <w:r w:rsidRPr="00BE0248">
        <w:rPr>
          <w:rFonts w:cstheme="minorHAnsi"/>
          <w:sz w:val="24"/>
          <w:szCs w:val="24"/>
        </w:rPr>
        <w:t xml:space="preserve">territorio ASL </w:t>
      </w:r>
      <w:r w:rsidR="00973220" w:rsidRPr="00BE0248">
        <w:rPr>
          <w:rFonts w:cstheme="minorHAnsi"/>
          <w:sz w:val="24"/>
          <w:szCs w:val="24"/>
        </w:rPr>
        <w:t xml:space="preserve">CN1 </w:t>
      </w:r>
      <w:r w:rsidR="004300D8" w:rsidRPr="00BE0248">
        <w:rPr>
          <w:rFonts w:cstheme="minorHAnsi"/>
          <w:sz w:val="24"/>
          <w:szCs w:val="24"/>
        </w:rPr>
        <w:t>(AO S.</w:t>
      </w:r>
      <w:r w:rsidR="00031DE5">
        <w:rPr>
          <w:rFonts w:cstheme="minorHAnsi"/>
          <w:sz w:val="24"/>
          <w:szCs w:val="24"/>
        </w:rPr>
        <w:t xml:space="preserve"> </w:t>
      </w:r>
      <w:r w:rsidR="004300D8" w:rsidRPr="00BE0248">
        <w:rPr>
          <w:rFonts w:cstheme="minorHAnsi"/>
          <w:sz w:val="24"/>
          <w:szCs w:val="24"/>
        </w:rPr>
        <w:t>Croce e Carle)</w:t>
      </w:r>
    </w:p>
    <w:p w:rsidR="00201415" w:rsidRPr="00BE0248" w:rsidRDefault="00973220" w:rsidP="00844D3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t xml:space="preserve">Mancata saturazione della capacità produttiva dei PP.OO. ASL CN1, </w:t>
      </w:r>
      <w:r w:rsidR="00C1237A" w:rsidRPr="00BE0248">
        <w:rPr>
          <w:rFonts w:cstheme="minorHAnsi"/>
          <w:sz w:val="24"/>
          <w:szCs w:val="24"/>
        </w:rPr>
        <w:t>prevalentemente ricollegabile alla carenza</w:t>
      </w:r>
      <w:r w:rsidRPr="00BE0248">
        <w:rPr>
          <w:rFonts w:cstheme="minorHAnsi"/>
          <w:sz w:val="24"/>
          <w:szCs w:val="24"/>
        </w:rPr>
        <w:t xml:space="preserve"> di </w:t>
      </w:r>
      <w:r w:rsidR="00F10BA0">
        <w:rPr>
          <w:rFonts w:cstheme="minorHAnsi"/>
          <w:sz w:val="24"/>
          <w:szCs w:val="24"/>
        </w:rPr>
        <w:t>medici,</w:t>
      </w:r>
      <w:bookmarkStart w:id="0" w:name="_GoBack"/>
      <w:bookmarkEnd w:id="0"/>
      <w:r w:rsidR="009C6F56">
        <w:rPr>
          <w:rFonts w:cstheme="minorHAnsi"/>
          <w:sz w:val="24"/>
          <w:szCs w:val="24"/>
        </w:rPr>
        <w:t xml:space="preserve"> che su alcune discipline sta purtroppo ulteriormente peggiorando.</w:t>
      </w:r>
      <w:r w:rsidR="004300D8" w:rsidRPr="00BE0248">
        <w:rPr>
          <w:rFonts w:cstheme="minorHAnsi"/>
          <w:sz w:val="24"/>
          <w:szCs w:val="24"/>
        </w:rPr>
        <w:t xml:space="preserve"> </w:t>
      </w:r>
    </w:p>
    <w:p w:rsidR="00C1237A" w:rsidRPr="00BE0248" w:rsidRDefault="00C1237A" w:rsidP="00C1237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253C" w:rsidRPr="00BE0248" w:rsidRDefault="0093253C" w:rsidP="009325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E0248">
        <w:rPr>
          <w:rFonts w:cstheme="minorHAnsi"/>
          <w:sz w:val="24"/>
          <w:szCs w:val="24"/>
        </w:rPr>
        <w:t>Le priorità di intervento riguardano:</w:t>
      </w:r>
    </w:p>
    <w:p w:rsidR="003C3786" w:rsidRPr="00BE0248" w:rsidRDefault="009C6F56" w:rsidP="003C37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Ulteriore i</w:t>
      </w:r>
      <w:r w:rsidR="003C3786" w:rsidRPr="00BE0248">
        <w:rPr>
          <w:rFonts w:cstheme="minorHAnsi"/>
          <w:sz w:val="24"/>
          <w:szCs w:val="24"/>
        </w:rPr>
        <w:t>ncremento della produttività n</w:t>
      </w:r>
      <w:r w:rsidR="0093253C" w:rsidRPr="00BE0248">
        <w:rPr>
          <w:rFonts w:cstheme="minorHAnsi"/>
          <w:sz w:val="24"/>
          <w:szCs w:val="24"/>
        </w:rPr>
        <w:t xml:space="preserve">elle </w:t>
      </w:r>
      <w:r w:rsidR="003C3786" w:rsidRPr="00BE0248">
        <w:rPr>
          <w:rFonts w:cstheme="minorHAnsi"/>
          <w:sz w:val="24"/>
          <w:szCs w:val="24"/>
        </w:rPr>
        <w:t>discipline</w:t>
      </w:r>
      <w:r w:rsidR="0093253C" w:rsidRPr="00BE0248">
        <w:rPr>
          <w:rFonts w:cstheme="minorHAnsi"/>
          <w:sz w:val="24"/>
          <w:szCs w:val="24"/>
        </w:rPr>
        <w:t xml:space="preserve"> dei PP.OO. ASL </w:t>
      </w:r>
      <w:r w:rsidR="003C3786" w:rsidRPr="00BE0248">
        <w:rPr>
          <w:rFonts w:cstheme="minorHAnsi"/>
          <w:sz w:val="24"/>
          <w:szCs w:val="24"/>
        </w:rPr>
        <w:t>CN1</w:t>
      </w:r>
      <w:r w:rsidR="0093253C" w:rsidRPr="00BE0248">
        <w:rPr>
          <w:rFonts w:cstheme="minorHAnsi"/>
          <w:sz w:val="24"/>
          <w:szCs w:val="24"/>
        </w:rPr>
        <w:t xml:space="preserve"> laddove sussistano spazi di</w:t>
      </w:r>
      <w:r w:rsidR="003C3786" w:rsidRPr="00BE0248">
        <w:rPr>
          <w:rFonts w:cstheme="minorHAnsi"/>
          <w:sz w:val="24"/>
          <w:szCs w:val="24"/>
        </w:rPr>
        <w:t xml:space="preserve"> </w:t>
      </w:r>
      <w:r w:rsidR="0093253C" w:rsidRPr="00BE0248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apacità produttiva non saturati </w:t>
      </w:r>
    </w:p>
    <w:p w:rsidR="003C3786" w:rsidRPr="00BE0248" w:rsidRDefault="009C6F56" w:rsidP="00844D3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Confronti con </w:t>
      </w:r>
      <w:r w:rsidR="0093253C" w:rsidRPr="00BE0248">
        <w:rPr>
          <w:rFonts w:cstheme="minorHAnsi"/>
          <w:sz w:val="24"/>
          <w:szCs w:val="24"/>
        </w:rPr>
        <w:t xml:space="preserve">l’AO </w:t>
      </w:r>
      <w:r w:rsidR="003C3786" w:rsidRPr="00BE0248">
        <w:rPr>
          <w:rFonts w:cstheme="minorHAnsi"/>
          <w:sz w:val="24"/>
          <w:szCs w:val="24"/>
        </w:rPr>
        <w:t>Santa Croce e Carle di Cuneo</w:t>
      </w:r>
      <w:r w:rsidR="0093253C" w:rsidRPr="00BE02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sulla base dell’andamento dell’attività 2024</w:t>
      </w:r>
    </w:p>
    <w:p w:rsidR="00F6650A" w:rsidRPr="009C6F56" w:rsidRDefault="009C6F56" w:rsidP="00844D3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AAAA蠑ｫSymbolMT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Ulteriore i</w:t>
      </w:r>
      <w:r w:rsidR="00593B4F" w:rsidRPr="00BE0248">
        <w:rPr>
          <w:rFonts w:cstheme="minorHAnsi"/>
          <w:sz w:val="24"/>
          <w:szCs w:val="24"/>
        </w:rPr>
        <w:t>mplementazione di campagne di informazione rivolte ai MMG/PL e cittadini volte a promuovere</w:t>
      </w:r>
      <w:r w:rsidR="004E24D2" w:rsidRPr="00BE0248">
        <w:rPr>
          <w:rFonts w:cstheme="minorHAnsi"/>
          <w:sz w:val="24"/>
          <w:szCs w:val="24"/>
        </w:rPr>
        <w:t xml:space="preserve"> l’offerta ospedaliera </w:t>
      </w:r>
      <w:r w:rsidR="00593B4F" w:rsidRPr="00BE0248">
        <w:rPr>
          <w:rFonts w:cstheme="minorHAnsi"/>
          <w:sz w:val="24"/>
          <w:szCs w:val="24"/>
        </w:rPr>
        <w:t>sul territorio della ASL CN1</w:t>
      </w:r>
      <w:r w:rsidR="003C3786" w:rsidRPr="00BE0248">
        <w:rPr>
          <w:rFonts w:cstheme="minorHAnsi"/>
          <w:sz w:val="24"/>
          <w:szCs w:val="24"/>
        </w:rPr>
        <w:t xml:space="preserve"> </w:t>
      </w:r>
    </w:p>
    <w:p w:rsidR="009C6F56" w:rsidRPr="00BE0248" w:rsidRDefault="009C6F56" w:rsidP="00844D3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AAAAA蠑ｫSymbolMT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Analisi della casistica ad alto rischio di </w:t>
      </w:r>
      <w:proofErr w:type="spellStart"/>
      <w:r>
        <w:rPr>
          <w:rFonts w:cstheme="minorHAnsi"/>
          <w:sz w:val="24"/>
          <w:szCs w:val="24"/>
        </w:rPr>
        <w:t>inappropriatezza</w:t>
      </w:r>
      <w:proofErr w:type="spellEnd"/>
    </w:p>
    <w:p w:rsidR="00973969" w:rsidRPr="00BE0248" w:rsidRDefault="00973969" w:rsidP="003C378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AAAA蠑ｫSymbolMT" w:cstheme="minorHAnsi"/>
          <w:sz w:val="24"/>
          <w:szCs w:val="24"/>
        </w:rPr>
      </w:pPr>
    </w:p>
    <w:p w:rsidR="00F9319B" w:rsidRDefault="00BE0248" w:rsidP="00844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 </w:t>
      </w:r>
      <w:r w:rsidR="00973969" w:rsidRPr="00BE0248">
        <w:rPr>
          <w:rFonts w:cstheme="minorHAnsi"/>
          <w:b/>
          <w:bCs/>
        </w:rPr>
        <w:t xml:space="preserve">4) DEFINIZIONE DEGLI OBIETTIVI </w:t>
      </w:r>
      <w:r w:rsidR="00F9319B" w:rsidRPr="00BE0248">
        <w:rPr>
          <w:rFonts w:cstheme="minorHAnsi"/>
          <w:b/>
          <w:bCs/>
        </w:rPr>
        <w:t>RELATIVI AL RECUPERO DELLA MOBILITÀ, DELLE AZIONI DI MIGLIORAMENTO EFFICACI E FATTIBILI, CON TEMPISTICA DI REALIZZAZIONE E RELATIVI INDICATORI DI MONITORAGGIO</w:t>
      </w:r>
    </w:p>
    <w:p w:rsidR="009A32D9" w:rsidRPr="00BE0248" w:rsidRDefault="009A32D9" w:rsidP="0002560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2881"/>
        <w:gridCol w:w="1608"/>
        <w:gridCol w:w="1608"/>
        <w:gridCol w:w="1608"/>
      </w:tblGrid>
      <w:tr w:rsidR="006744E7" w:rsidRPr="00973969" w:rsidTr="006744E7">
        <w:trPr>
          <w:trHeight w:val="255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744E7" w:rsidRPr="00973969" w:rsidRDefault="006744E7" w:rsidP="00973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OBIETTIVO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744E7" w:rsidRPr="00973969" w:rsidRDefault="006744E7" w:rsidP="00973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 xml:space="preserve">AZIONI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744E7" w:rsidRPr="00973969" w:rsidRDefault="006744E7" w:rsidP="00973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TEMPI REALIZZAZIONE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744E7" w:rsidRPr="00973969" w:rsidRDefault="006744E7" w:rsidP="00973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6744E7" w:rsidRPr="00973969" w:rsidRDefault="006744E7" w:rsidP="00973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STATO DELL’ARTE</w:t>
            </w:r>
          </w:p>
        </w:tc>
      </w:tr>
      <w:tr w:rsidR="006744E7" w:rsidRPr="00973969" w:rsidTr="006744E7">
        <w:trPr>
          <w:trHeight w:val="2295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Incremento dei ricoveri nelle discipline dei PP.OO. ASL CN1 per le quali si registra una significativa fuga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1) Assegnazione di target di incremento produzione sugli indicatori presenti sulla scheda di budget legata alle risorse assegnate e all'attività svolta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2) Monitoraggio dei dati di produzione e di mobilità passiva per distretto di residenza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3) Apertura di sedute operatorie aggiuntive utilizzando le risorse previste dal finanziamento regionale per il recupero delle liste d'attesa e dal fondo Balduzzi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1) Marzo-Aprile 2024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2) Anno 2024 - Cadenza Trimestrale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3) Anno 2024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- n.ro medio di ricoveri per medico 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- % di interventi persi rispetto alla capacità produttiva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- costo medio per intervento utilizzando le risorse aggiuntive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4E7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1) effettuato</w:t>
            </w:r>
          </w:p>
          <w:p w:rsidR="006744E7" w:rsidRDefault="00320304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2) effettuato</w:t>
            </w:r>
          </w:p>
          <w:p w:rsidR="00320304" w:rsidRPr="00973969" w:rsidRDefault="00320304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3) programmazione di sedute aggiuntive già a partire dal mese di marzo</w:t>
            </w:r>
          </w:p>
        </w:tc>
      </w:tr>
      <w:tr w:rsidR="006744E7" w:rsidRPr="00973969" w:rsidTr="006744E7">
        <w:trPr>
          <w:trHeight w:val="1785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Maggiore inte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razione con l’AO Santa Croce e Carle di Cuneo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1) Verifica periodica e congiunta ASL- AO dei dati di mobilità passiva dei residenti della ASL CN1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 xml:space="preserve">2) Definizione di accordi congiunti e convenzioni ASL- AO che favoriscano la collaborazione delle due aziende 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</w:r>
            <w:r w:rsidRPr="00940DC8">
              <w:rPr>
                <w:rFonts w:eastAsia="Times New Roman" w:cstheme="minorHAnsi"/>
                <w:strike/>
                <w:sz w:val="16"/>
                <w:szCs w:val="16"/>
                <w:lang w:eastAsia="it-IT"/>
              </w:rPr>
              <w:t>3) Assegnazione all'AO di una quota parte dei fondi per il recupero delle liste d'attesa a favore dell'incremento della produttività nelle aree particolarmente critiche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1) Anno 2024 - Cadenza Trimestrale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2) e 3) Anno 2024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- % di interventi persi rispetto alla capacità produttiva ASL+AO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- costo medio prestazione e intervento in RLA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4E7" w:rsidRDefault="00940DC8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Da pianificare</w:t>
            </w:r>
            <w:r w:rsidR="00320304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</w:p>
          <w:p w:rsidR="00940DC8" w:rsidRDefault="00940DC8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940DC8" w:rsidRPr="00973969" w:rsidRDefault="00940DC8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Il punto 3) è sospeso in quanto l’assegnazione dei fondi all’AO è diretta regionale</w:t>
            </w:r>
          </w:p>
        </w:tc>
      </w:tr>
      <w:tr w:rsidR="006744E7" w:rsidRPr="00973969" w:rsidTr="006744E7">
        <w:trPr>
          <w:trHeight w:val="765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Implementazione sul territorio provinciale di PDTA interaziendali per la presa in carico multidisciplinare dei pazienti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Definizione ambiti e stesura protocolli</w:t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volti anche al miglioramento dell’appropriatezza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Anno 2024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- Evidenza documentale dell'attività svolta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4E7" w:rsidRPr="00973969" w:rsidRDefault="00320304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 corso</w:t>
            </w:r>
          </w:p>
        </w:tc>
      </w:tr>
      <w:tr w:rsidR="006744E7" w:rsidRPr="00973969" w:rsidTr="006744E7">
        <w:trPr>
          <w:trHeight w:val="306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Rafforzamento dell’offerta di specialistica ambulatoriale per le aree di maggiore fuga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1) Assegnazione di target di incremento produzione sugli indicatori presenti sulla scheda di budget legata alle risorse assegnate e all'attività svolta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2) Monitoraggio dei dati di produzione e di mobilità passiva per distretto di residenza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3) Apertura di fasce ambulatoriali dedicate al recupero liste attesa utilizzando le risorse previste dal finanziamento regionale e dal fondo Balduzzi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 xml:space="preserve">4) Definizione del fabbisogno 2024 dell'offerta per residenti nell'ambito del contratto con l'erogatore privato insistente sul territorio della ASL CN1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1) Marzo-Aprile 2024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2) Anno 2024 - Cadenza Trimestrale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3) Anno 2024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4) Primi mesi 2024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- n.ro medio di prestazioni per medico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- % di prestazioni perse rispetto alla capacità produttiva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- costo medio per prestazione in RLA</w:t>
            </w: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br/>
              <w:t>- % prestazioni erogate rispetto al fabbisogno previsto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304" w:rsidRDefault="00320304" w:rsidP="0032030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1) effettuato</w:t>
            </w:r>
          </w:p>
          <w:p w:rsidR="00320304" w:rsidRDefault="00320304" w:rsidP="0032030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2) effettuato</w:t>
            </w:r>
          </w:p>
          <w:p w:rsidR="006744E7" w:rsidRDefault="00320304" w:rsidP="0032030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3) programmazione di fasce aggiuntive già a partire dal mese di marzo</w:t>
            </w:r>
          </w:p>
          <w:p w:rsidR="00320304" w:rsidRPr="00973969" w:rsidRDefault="00320304" w:rsidP="00320304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4) effettuato</w:t>
            </w:r>
          </w:p>
        </w:tc>
      </w:tr>
      <w:tr w:rsidR="006744E7" w:rsidRPr="00973969" w:rsidTr="006744E7">
        <w:trPr>
          <w:trHeight w:val="765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Miglioramento della comunicazione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Implementazione di campagne di informazione rivolte ai MMG/PL e cittadini volte a promuovere l’offerta ospedaliera sul territorio della ASL CN1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>Anno 2024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4E7" w:rsidRPr="00973969" w:rsidRDefault="006744E7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973969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- Evidenza documentale dell'attività svolta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4E7" w:rsidRPr="00973969" w:rsidRDefault="00320304" w:rsidP="0097396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In corso</w:t>
            </w:r>
          </w:p>
        </w:tc>
      </w:tr>
    </w:tbl>
    <w:p w:rsidR="00A85784" w:rsidRPr="00BE0248" w:rsidRDefault="00A85784" w:rsidP="00F9319B">
      <w:pPr>
        <w:jc w:val="center"/>
        <w:rPr>
          <w:rFonts w:cstheme="minorHAnsi"/>
          <w:sz w:val="28"/>
          <w:szCs w:val="28"/>
        </w:rPr>
      </w:pPr>
    </w:p>
    <w:sectPr w:rsidR="00A85784" w:rsidRPr="00BE0248" w:rsidSect="009A32D9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AAA蠑ｫ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0F3D"/>
    <w:multiLevelType w:val="hybridMultilevel"/>
    <w:tmpl w:val="EE888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5CD"/>
    <w:multiLevelType w:val="hybridMultilevel"/>
    <w:tmpl w:val="0ED2D4E8"/>
    <w:lvl w:ilvl="0" w:tplc="CE5A0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33F6"/>
    <w:multiLevelType w:val="hybridMultilevel"/>
    <w:tmpl w:val="EE888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9501C"/>
    <w:multiLevelType w:val="hybridMultilevel"/>
    <w:tmpl w:val="EE888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97"/>
    <w:rsid w:val="0000020A"/>
    <w:rsid w:val="0002560B"/>
    <w:rsid w:val="00031B80"/>
    <w:rsid w:val="00031DE5"/>
    <w:rsid w:val="0003369A"/>
    <w:rsid w:val="0008743E"/>
    <w:rsid w:val="000E6CCC"/>
    <w:rsid w:val="00114F97"/>
    <w:rsid w:val="0017248B"/>
    <w:rsid w:val="00185F57"/>
    <w:rsid w:val="001A6920"/>
    <w:rsid w:val="001D3DCA"/>
    <w:rsid w:val="00201415"/>
    <w:rsid w:val="00221A0B"/>
    <w:rsid w:val="002243CA"/>
    <w:rsid w:val="00282622"/>
    <w:rsid w:val="00291493"/>
    <w:rsid w:val="00302B7E"/>
    <w:rsid w:val="00320304"/>
    <w:rsid w:val="003543E8"/>
    <w:rsid w:val="00370837"/>
    <w:rsid w:val="003C3786"/>
    <w:rsid w:val="004300D8"/>
    <w:rsid w:val="004750E0"/>
    <w:rsid w:val="004C1608"/>
    <w:rsid w:val="004E24D2"/>
    <w:rsid w:val="00515A90"/>
    <w:rsid w:val="00541109"/>
    <w:rsid w:val="005806A9"/>
    <w:rsid w:val="00593B4F"/>
    <w:rsid w:val="00595272"/>
    <w:rsid w:val="005A2FD2"/>
    <w:rsid w:val="005D6B70"/>
    <w:rsid w:val="005F3F1D"/>
    <w:rsid w:val="005F6864"/>
    <w:rsid w:val="00634F1F"/>
    <w:rsid w:val="006744E7"/>
    <w:rsid w:val="006A1E3E"/>
    <w:rsid w:val="006F6CC5"/>
    <w:rsid w:val="00710C3F"/>
    <w:rsid w:val="00791D3F"/>
    <w:rsid w:val="007A20DE"/>
    <w:rsid w:val="007D2B59"/>
    <w:rsid w:val="00844D38"/>
    <w:rsid w:val="008950E4"/>
    <w:rsid w:val="008C3DF7"/>
    <w:rsid w:val="008E4460"/>
    <w:rsid w:val="009149F6"/>
    <w:rsid w:val="0091516B"/>
    <w:rsid w:val="0093253C"/>
    <w:rsid w:val="00940DC8"/>
    <w:rsid w:val="00973220"/>
    <w:rsid w:val="00973969"/>
    <w:rsid w:val="00986E4D"/>
    <w:rsid w:val="009A32D9"/>
    <w:rsid w:val="009C4BC6"/>
    <w:rsid w:val="009C6F56"/>
    <w:rsid w:val="009D5FB9"/>
    <w:rsid w:val="009E7C8C"/>
    <w:rsid w:val="00A15AC4"/>
    <w:rsid w:val="00A4403E"/>
    <w:rsid w:val="00A85784"/>
    <w:rsid w:val="00AE2D67"/>
    <w:rsid w:val="00BB475E"/>
    <w:rsid w:val="00BE0248"/>
    <w:rsid w:val="00BE625E"/>
    <w:rsid w:val="00BF565F"/>
    <w:rsid w:val="00C1237A"/>
    <w:rsid w:val="00C16A4B"/>
    <w:rsid w:val="00CD1FAF"/>
    <w:rsid w:val="00D933A2"/>
    <w:rsid w:val="00DD656A"/>
    <w:rsid w:val="00DF5B7B"/>
    <w:rsid w:val="00E71632"/>
    <w:rsid w:val="00E81097"/>
    <w:rsid w:val="00F10BA0"/>
    <w:rsid w:val="00F21989"/>
    <w:rsid w:val="00F30E9D"/>
    <w:rsid w:val="00F6650A"/>
    <w:rsid w:val="00F9319B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BD1"/>
  <w15:chartTrackingRefBased/>
  <w15:docId w15:val="{54E7EEBF-3D23-4173-BC42-3DD3708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1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Dalmasso</dc:creator>
  <cp:keywords/>
  <dc:description/>
  <cp:lastModifiedBy>Francesca Dalmasso</cp:lastModifiedBy>
  <cp:revision>45</cp:revision>
  <cp:lastPrinted>2024-07-04T12:52:00Z</cp:lastPrinted>
  <dcterms:created xsi:type="dcterms:W3CDTF">2024-02-22T08:17:00Z</dcterms:created>
  <dcterms:modified xsi:type="dcterms:W3CDTF">2024-07-04T15:21:00Z</dcterms:modified>
</cp:coreProperties>
</file>